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5694C" w14:textId="51BB2845" w:rsidR="000F2C45" w:rsidRPr="0076508B" w:rsidRDefault="000F2C45" w:rsidP="00672AEF">
      <w:pPr>
        <w:pStyle w:val="Heading1"/>
        <w:rPr>
          <w:rFonts w:asciiTheme="minorHAnsi" w:hAnsiTheme="minorHAnsi"/>
          <w:b/>
          <w:bCs/>
        </w:rPr>
      </w:pPr>
      <w:r w:rsidRPr="0076508B">
        <w:rPr>
          <w:rFonts w:asciiTheme="minorHAnsi" w:hAnsiTheme="minorHAnsi"/>
          <w:b/>
          <w:bCs/>
        </w:rPr>
        <w:t>Horizon</w:t>
      </w:r>
      <w:r w:rsidR="000D2E84" w:rsidRPr="0076508B">
        <w:rPr>
          <w:rFonts w:asciiTheme="minorHAnsi" w:hAnsiTheme="minorHAnsi"/>
          <w:b/>
          <w:bCs/>
        </w:rPr>
        <w:t xml:space="preserve"> - </w:t>
      </w:r>
      <w:r w:rsidRPr="0076508B">
        <w:rPr>
          <w:rFonts w:asciiTheme="minorHAnsi" w:hAnsiTheme="minorHAnsi"/>
          <w:b/>
          <w:bCs/>
        </w:rPr>
        <w:t>Attribution</w:t>
      </w:r>
    </w:p>
    <w:p w14:paraId="5FDACC64" w14:textId="0C079E6C" w:rsidR="00606D5B" w:rsidRPr="0076508B" w:rsidRDefault="00606D5B" w:rsidP="00606D5B">
      <w:pPr>
        <w:pStyle w:val="Heading3"/>
        <w:rPr>
          <w:u w:val="single"/>
        </w:rPr>
      </w:pPr>
      <w:bookmarkStart w:id="0" w:name="OLE_LINK1"/>
      <w:r w:rsidRPr="0076508B">
        <w:rPr>
          <w:u w:val="single"/>
        </w:rPr>
        <w:t xml:space="preserve">How Property Attribution </w:t>
      </w:r>
      <w:proofErr w:type="gramStart"/>
      <w:r w:rsidRPr="0076508B">
        <w:rPr>
          <w:u w:val="single"/>
        </w:rPr>
        <w:t>Works</w:t>
      </w:r>
      <w:r w:rsidR="00B37EF2">
        <w:rPr>
          <w:u w:val="single"/>
        </w:rPr>
        <w:t xml:space="preserve"> ?</w:t>
      </w:r>
      <w:proofErr w:type="gramEnd"/>
      <w:r w:rsidR="00B37EF2">
        <w:rPr>
          <w:u w:val="single"/>
        </w:rPr>
        <w:t xml:space="preserve"> </w:t>
      </w:r>
    </w:p>
    <w:p w14:paraId="67DFF90F" w14:textId="18054688" w:rsidR="00606D5B" w:rsidRPr="0076508B" w:rsidRDefault="00606D5B" w:rsidP="00606D5B">
      <w:pPr>
        <w:pStyle w:val="NormalWeb"/>
        <w:rPr>
          <w:rFonts w:asciiTheme="minorHAnsi" w:hAnsiTheme="minorHAnsi"/>
        </w:rPr>
      </w:pPr>
      <w:r w:rsidRPr="0076508B">
        <w:rPr>
          <w:rFonts w:asciiTheme="minorHAnsi" w:hAnsiTheme="minorHAnsi"/>
        </w:rPr>
        <w:t>The system tracks when users interact with </w:t>
      </w:r>
      <w:r w:rsidRPr="0076508B">
        <w:rPr>
          <w:rStyle w:val="Strong"/>
          <w:rFonts w:asciiTheme="minorHAnsi" w:eastAsiaTheme="majorEastAsia" w:hAnsiTheme="minorHAnsi"/>
        </w:rPr>
        <w:t>specific properties</w:t>
      </w:r>
      <w:r w:rsidRPr="0076508B">
        <w:rPr>
          <w:rFonts w:asciiTheme="minorHAnsi" w:hAnsiTheme="minorHAnsi"/>
        </w:rPr>
        <w:t xml:space="preserve"> and then </w:t>
      </w:r>
      <w:r w:rsidR="006600DB" w:rsidRPr="0076508B">
        <w:rPr>
          <w:rFonts w:asciiTheme="minorHAnsi" w:hAnsiTheme="minorHAnsi"/>
        </w:rPr>
        <w:t>connect</w:t>
      </w:r>
      <w:r w:rsidRPr="0076508B">
        <w:rPr>
          <w:rFonts w:asciiTheme="minorHAnsi" w:hAnsiTheme="minorHAnsi"/>
        </w:rPr>
        <w:t xml:space="preserve"> those properties to opportunities:</w:t>
      </w:r>
    </w:p>
    <w:p w14:paraId="1662A166" w14:textId="77777777" w:rsidR="00606D5B" w:rsidRDefault="00606D5B" w:rsidP="00606D5B">
      <w:pPr>
        <w:pStyle w:val="NormalWeb"/>
      </w:pPr>
      <w:r>
        <w:rPr>
          <w:rStyle w:val="Strong"/>
          <w:rFonts w:eastAsiaTheme="majorEastAsia"/>
        </w:rPr>
        <w:t>Direct Property Interactions:</w:t>
      </w:r>
    </w:p>
    <w:p w14:paraId="60D67D93" w14:textId="77777777" w:rsidR="00606D5B" w:rsidRDefault="00606D5B" w:rsidP="00606D5B">
      <w:pPr>
        <w:numPr>
          <w:ilvl w:val="0"/>
          <w:numId w:val="14"/>
        </w:numPr>
        <w:spacing w:before="100" w:beforeAutospacing="1" w:after="100" w:afterAutospacing="1" w:line="240" w:lineRule="auto"/>
      </w:pPr>
      <w:r>
        <w:t>Visiting property pages on Horizon (</w:t>
      </w:r>
      <w:proofErr w:type="spellStart"/>
      <w:r>
        <w:rPr>
          <w:rStyle w:val="HTMLCode"/>
          <w:rFonts w:eastAsiaTheme="majorEastAsia"/>
        </w:rPr>
        <w:t>skylineid</w:t>
      </w:r>
      <w:proofErr w:type="spellEnd"/>
      <w:r>
        <w:t>, </w:t>
      </w:r>
      <w:proofErr w:type="spellStart"/>
      <w:r>
        <w:rPr>
          <w:rStyle w:val="HTMLCode"/>
          <w:rFonts w:eastAsiaTheme="majorEastAsia"/>
        </w:rPr>
        <w:t>horizonpropertyid</w:t>
      </w:r>
      <w:proofErr w:type="spellEnd"/>
      <w:r>
        <w:t>)</w:t>
      </w:r>
    </w:p>
    <w:p w14:paraId="1F9C6119" w14:textId="77777777" w:rsidR="00606D5B" w:rsidRDefault="00606D5B" w:rsidP="00606D5B">
      <w:pPr>
        <w:numPr>
          <w:ilvl w:val="0"/>
          <w:numId w:val="14"/>
        </w:numPr>
        <w:spacing w:before="100" w:beforeAutospacing="1" w:after="100" w:afterAutospacing="1" w:line="240" w:lineRule="auto"/>
      </w:pPr>
      <w:r>
        <w:t>Visiting property pages on QRM (</w:t>
      </w:r>
      <w:proofErr w:type="spellStart"/>
      <w:r>
        <w:rPr>
          <w:rStyle w:val="HTMLCode"/>
          <w:rFonts w:eastAsiaTheme="majorEastAsia"/>
        </w:rPr>
        <w:t>cmq_id</w:t>
      </w:r>
      <w:proofErr w:type="spellEnd"/>
      <w:r>
        <w:t>)</w:t>
      </w:r>
    </w:p>
    <w:p w14:paraId="4D45B6C0" w14:textId="77777777" w:rsidR="00606D5B" w:rsidRDefault="00606D5B" w:rsidP="00606D5B">
      <w:pPr>
        <w:numPr>
          <w:ilvl w:val="0"/>
          <w:numId w:val="14"/>
        </w:numPr>
        <w:spacing w:before="100" w:beforeAutospacing="1" w:after="100" w:afterAutospacing="1" w:line="240" w:lineRule="auto"/>
      </w:pPr>
      <w:r>
        <w:t>Exporting specific properties from deal sourcing</w:t>
      </w:r>
    </w:p>
    <w:p w14:paraId="0680C636" w14:textId="77777777" w:rsidR="00606D5B" w:rsidRDefault="00606D5B" w:rsidP="00606D5B">
      <w:pPr>
        <w:numPr>
          <w:ilvl w:val="0"/>
          <w:numId w:val="14"/>
        </w:numPr>
        <w:spacing w:before="100" w:beforeAutospacing="1" w:after="100" w:afterAutospacing="1" w:line="240" w:lineRule="auto"/>
      </w:pPr>
      <w:r>
        <w:t>Viewing properties through suggested leads</w:t>
      </w:r>
    </w:p>
    <w:p w14:paraId="1540ACA8" w14:textId="77777777" w:rsidR="00606D5B" w:rsidRDefault="00606D5B" w:rsidP="00606D5B">
      <w:pPr>
        <w:numPr>
          <w:ilvl w:val="0"/>
          <w:numId w:val="14"/>
        </w:numPr>
        <w:spacing w:before="100" w:beforeAutospacing="1" w:after="100" w:afterAutospacing="1" w:line="240" w:lineRule="auto"/>
      </w:pPr>
      <w:r>
        <w:t>Receiving specific properties via manual services</w:t>
      </w:r>
    </w:p>
    <w:p w14:paraId="6D2C74DB" w14:textId="77777777" w:rsidR="00606D5B" w:rsidRDefault="00606D5B" w:rsidP="00606D5B">
      <w:pPr>
        <w:pStyle w:val="NormalWeb"/>
      </w:pPr>
      <w:r>
        <w:rPr>
          <w:rStyle w:val="Strong"/>
          <w:rFonts w:eastAsiaTheme="majorEastAsia"/>
        </w:rPr>
        <w:t>Property-to-Opportunity Matching:</w:t>
      </w:r>
    </w:p>
    <w:p w14:paraId="5D8BEEDE" w14:textId="77777777" w:rsidR="00606D5B" w:rsidRDefault="00606D5B" w:rsidP="00606D5B">
      <w:pPr>
        <w:numPr>
          <w:ilvl w:val="0"/>
          <w:numId w:val="15"/>
        </w:numPr>
        <w:spacing w:before="100" w:beforeAutospacing="1" w:after="100" w:afterAutospacing="1" w:line="240" w:lineRule="auto"/>
      </w:pPr>
      <w:r>
        <w:t xml:space="preserve">Entity resolution algorithm matches properties to </w:t>
      </w:r>
      <w:proofErr w:type="spellStart"/>
      <w:r>
        <w:t>Capforce</w:t>
      </w:r>
      <w:proofErr w:type="spellEnd"/>
      <w:r>
        <w:t xml:space="preserve"> opportunities</w:t>
      </w:r>
    </w:p>
    <w:p w14:paraId="5C57977C" w14:textId="77777777" w:rsidR="00606D5B" w:rsidRDefault="00606D5B" w:rsidP="00606D5B">
      <w:pPr>
        <w:numPr>
          <w:ilvl w:val="0"/>
          <w:numId w:val="15"/>
        </w:numPr>
        <w:spacing w:before="100" w:beforeAutospacing="1" w:after="100" w:afterAutospacing="1" w:line="240" w:lineRule="auto"/>
      </w:pPr>
      <w:r>
        <w:t>One opportunity can include multiple properties</w:t>
      </w:r>
    </w:p>
    <w:p w14:paraId="275B4BE9" w14:textId="77777777" w:rsidR="00606D5B" w:rsidRDefault="00606D5B" w:rsidP="00606D5B">
      <w:pPr>
        <w:numPr>
          <w:ilvl w:val="0"/>
          <w:numId w:val="15"/>
        </w:numPr>
        <w:spacing w:before="100" w:beforeAutospacing="1" w:after="100" w:afterAutospacing="1" w:line="240" w:lineRule="auto"/>
      </w:pPr>
      <w:r>
        <w:t>Any property interaction within the opportunity counts for attribution</w:t>
      </w:r>
    </w:p>
    <w:p w14:paraId="747BF7A4" w14:textId="77777777" w:rsidR="00606D5B" w:rsidRDefault="00606D5B" w:rsidP="00606D5B">
      <w:pPr>
        <w:numPr>
          <w:ilvl w:val="0"/>
          <w:numId w:val="15"/>
        </w:numPr>
        <w:spacing w:before="100" w:beforeAutospacing="1" w:after="100" w:afterAutospacing="1" w:line="240" w:lineRule="auto"/>
      </w:pPr>
      <w:r>
        <w:t>Multiple interactions with different properties in the same opportunity still count as one attribution</w:t>
      </w:r>
    </w:p>
    <w:p w14:paraId="0B086609" w14:textId="1FD8ACC2" w:rsidR="00F27C4E" w:rsidRDefault="002E48C8" w:rsidP="00606D5B">
      <w:pPr>
        <w:numPr>
          <w:ilvl w:val="0"/>
          <w:numId w:val="15"/>
        </w:numPr>
        <w:spacing w:before="100" w:beforeAutospacing="1" w:after="100" w:afterAutospacing="1" w:line="240" w:lineRule="auto"/>
      </w:pPr>
      <w:r>
        <w:t>Cross region filter –</w:t>
      </w:r>
      <w:r w:rsidR="005601F6">
        <w:t xml:space="preserve"> </w:t>
      </w:r>
      <w:r>
        <w:t>attribution</w:t>
      </w:r>
      <w:r w:rsidR="005601F6">
        <w:t xml:space="preserve"> will be count</w:t>
      </w:r>
      <w:r>
        <w:t xml:space="preserve"> only if the Property &amp; Opportunity were in the same </w:t>
      </w:r>
      <w:r w:rsidR="00535E50">
        <w:t>R</w:t>
      </w:r>
      <w:r>
        <w:t>egion</w:t>
      </w:r>
    </w:p>
    <w:p w14:paraId="52D85227" w14:textId="77777777" w:rsidR="00606D5B" w:rsidRDefault="00606D5B" w:rsidP="00606D5B">
      <w:pPr>
        <w:pStyle w:val="NormalWeb"/>
      </w:pPr>
      <w:r>
        <w:rPr>
          <w:rStyle w:val="Strong"/>
          <w:rFonts w:eastAsiaTheme="majorEastAsia"/>
        </w:rPr>
        <w:t>Attribution Rules:</w:t>
      </w:r>
    </w:p>
    <w:p w14:paraId="4FD47A82" w14:textId="77777777" w:rsidR="00606D5B" w:rsidRDefault="00606D5B" w:rsidP="00606D5B">
      <w:pPr>
        <w:numPr>
          <w:ilvl w:val="0"/>
          <w:numId w:val="16"/>
        </w:numPr>
        <w:spacing w:before="100" w:beforeAutospacing="1" w:after="100" w:afterAutospacing="1" w:line="240" w:lineRule="auto"/>
      </w:pPr>
      <w:r>
        <w:rPr>
          <w:rStyle w:val="Strong"/>
        </w:rPr>
        <w:t>Sourced</w:t>
      </w:r>
      <w:r>
        <w:t>: Property interaction within 180 days before opportunity creation</w:t>
      </w:r>
    </w:p>
    <w:p w14:paraId="256CACFD" w14:textId="77777777" w:rsidR="00606D5B" w:rsidRDefault="00606D5B" w:rsidP="00606D5B">
      <w:pPr>
        <w:numPr>
          <w:ilvl w:val="0"/>
          <w:numId w:val="16"/>
        </w:numPr>
        <w:spacing w:before="100" w:beforeAutospacing="1" w:after="100" w:afterAutospacing="1" w:line="240" w:lineRule="auto"/>
      </w:pPr>
      <w:r>
        <w:rPr>
          <w:rStyle w:val="Strong"/>
        </w:rPr>
        <w:t>Supported</w:t>
      </w:r>
      <w:r>
        <w:t>: Property interaction while opportunity is active (after creation, before closing)</w:t>
      </w:r>
    </w:p>
    <w:p w14:paraId="55351EA1" w14:textId="77777777" w:rsidR="00606D5B" w:rsidRDefault="00606D5B" w:rsidP="00606D5B">
      <w:pPr>
        <w:pStyle w:val="NormalWeb"/>
        <w:spacing w:after="0" w:afterAutospacing="0"/>
      </w:pPr>
      <w:r>
        <w:t> </w:t>
      </w:r>
    </w:p>
    <w:p w14:paraId="579B73DD" w14:textId="23E37BF3" w:rsidR="00230A78" w:rsidRPr="00E87765" w:rsidRDefault="00606D5B" w:rsidP="00230A78">
      <w:pPr>
        <w:pStyle w:val="Heading3"/>
        <w:rPr>
          <w:u w:val="single"/>
        </w:rPr>
      </w:pPr>
      <w:r w:rsidRPr="00E87765">
        <w:rPr>
          <w:u w:val="single"/>
        </w:rPr>
        <w:t> </w:t>
      </w:r>
      <w:r w:rsidR="00230A78" w:rsidRPr="00E87765">
        <w:rPr>
          <w:u w:val="single"/>
        </w:rPr>
        <w:t>How Company Attribution Works</w:t>
      </w:r>
      <w:r w:rsidR="00B37EF2">
        <w:rPr>
          <w:u w:val="single"/>
        </w:rPr>
        <w:t xml:space="preserve"> ? </w:t>
      </w:r>
    </w:p>
    <w:p w14:paraId="01B8C4F9" w14:textId="77777777" w:rsidR="00230A78" w:rsidRPr="0076508B" w:rsidRDefault="00230A78" w:rsidP="00230A78">
      <w:pPr>
        <w:pStyle w:val="NormalWeb"/>
        <w:rPr>
          <w:rFonts w:asciiTheme="minorHAnsi" w:hAnsiTheme="minorHAnsi"/>
        </w:rPr>
      </w:pPr>
      <w:r w:rsidRPr="0076508B">
        <w:rPr>
          <w:rFonts w:asciiTheme="minorHAnsi" w:hAnsiTheme="minorHAnsi"/>
        </w:rPr>
        <w:t xml:space="preserve">The system tracks interactions with </w:t>
      </w:r>
      <w:r w:rsidRPr="0076508B">
        <w:rPr>
          <w:rStyle w:val="Strong"/>
          <w:rFonts w:asciiTheme="minorHAnsi" w:eastAsiaTheme="majorEastAsia" w:hAnsiTheme="minorHAnsi"/>
        </w:rPr>
        <w:t>company/client-level tools</w:t>
      </w:r>
      <w:r w:rsidRPr="0076508B">
        <w:rPr>
          <w:rFonts w:asciiTheme="minorHAnsi" w:hAnsiTheme="minorHAnsi"/>
        </w:rPr>
        <w:t xml:space="preserve"> that don't target specific properties but provide business intelligence at the entity level:</w:t>
      </w:r>
    </w:p>
    <w:p w14:paraId="28693636" w14:textId="77777777" w:rsidR="00230A78" w:rsidRPr="0076508B" w:rsidRDefault="00230A78" w:rsidP="00230A78">
      <w:pPr>
        <w:pStyle w:val="NormalWeb"/>
        <w:rPr>
          <w:rFonts w:asciiTheme="minorHAnsi" w:hAnsiTheme="minorHAnsi"/>
        </w:rPr>
      </w:pPr>
      <w:r w:rsidRPr="0076508B">
        <w:rPr>
          <w:rStyle w:val="Strong"/>
          <w:rFonts w:asciiTheme="minorHAnsi" w:eastAsiaTheme="majorEastAsia" w:hAnsiTheme="minorHAnsi"/>
        </w:rPr>
        <w:t>Client-Level Interactions:</w:t>
      </w:r>
    </w:p>
    <w:p w14:paraId="67518079" w14:textId="39B38112" w:rsidR="00230A78" w:rsidRPr="0076508B" w:rsidRDefault="00230A78" w:rsidP="00474413">
      <w:pPr>
        <w:numPr>
          <w:ilvl w:val="0"/>
          <w:numId w:val="17"/>
        </w:numPr>
        <w:spacing w:before="100" w:beforeAutospacing="1" w:after="100" w:afterAutospacing="1" w:line="240" w:lineRule="auto"/>
      </w:pPr>
      <w:r w:rsidRPr="0076508B">
        <w:rPr>
          <w:rStyle w:val="Strong"/>
        </w:rPr>
        <w:t>Client Dashboard</w:t>
      </w:r>
      <w:r w:rsidRPr="0076508B">
        <w:t xml:space="preserve">: User navigates to client dashboard </w:t>
      </w:r>
    </w:p>
    <w:p w14:paraId="3CBA7E0B" w14:textId="7A7ADCDD" w:rsidR="00230A78" w:rsidRPr="0076508B" w:rsidRDefault="00230A78" w:rsidP="00474413">
      <w:pPr>
        <w:numPr>
          <w:ilvl w:val="0"/>
          <w:numId w:val="17"/>
        </w:numPr>
        <w:spacing w:before="100" w:beforeAutospacing="1" w:after="100" w:afterAutospacing="1" w:line="240" w:lineRule="auto"/>
      </w:pPr>
      <w:r w:rsidRPr="0076508B">
        <w:rPr>
          <w:rStyle w:val="Strong"/>
        </w:rPr>
        <w:t>Owner Portfolio</w:t>
      </w:r>
      <w:r w:rsidRPr="0076508B">
        <w:t xml:space="preserve">: User views owner's portfolio </w:t>
      </w:r>
    </w:p>
    <w:p w14:paraId="59824EE6" w14:textId="1AB2483D" w:rsidR="00230A78" w:rsidRPr="0076508B" w:rsidRDefault="00230A78" w:rsidP="00230A78">
      <w:pPr>
        <w:numPr>
          <w:ilvl w:val="0"/>
          <w:numId w:val="17"/>
        </w:numPr>
        <w:spacing w:before="100" w:beforeAutospacing="1" w:after="100" w:afterAutospacing="1" w:line="240" w:lineRule="auto"/>
      </w:pPr>
      <w:r w:rsidRPr="0076508B">
        <w:rPr>
          <w:rStyle w:val="Strong"/>
        </w:rPr>
        <w:t>Owner Search</w:t>
      </w:r>
      <w:r w:rsidRPr="0076508B">
        <w:t>: User searches for owners</w:t>
      </w:r>
    </w:p>
    <w:p w14:paraId="7E48F490" w14:textId="77777777" w:rsidR="00474413" w:rsidRPr="0076508B" w:rsidRDefault="00474413" w:rsidP="00474413">
      <w:pPr>
        <w:spacing w:before="100" w:beforeAutospacing="1" w:after="100" w:afterAutospacing="1" w:line="240" w:lineRule="auto"/>
        <w:ind w:left="720"/>
      </w:pPr>
    </w:p>
    <w:p w14:paraId="7719C4C3" w14:textId="581936AF" w:rsidR="00230A78" w:rsidRPr="0076508B" w:rsidRDefault="00230A78" w:rsidP="00230A78">
      <w:pPr>
        <w:pStyle w:val="NormalWeb"/>
        <w:rPr>
          <w:rFonts w:asciiTheme="minorHAnsi" w:hAnsiTheme="minorHAnsi"/>
        </w:rPr>
      </w:pPr>
      <w:r w:rsidRPr="0076508B">
        <w:rPr>
          <w:rStyle w:val="Strong"/>
          <w:rFonts w:asciiTheme="minorHAnsi" w:eastAsiaTheme="majorEastAsia" w:hAnsiTheme="minorHAnsi"/>
        </w:rPr>
        <w:t>Company-to-Opportunity Matching:</w:t>
      </w:r>
    </w:p>
    <w:p w14:paraId="329E6CAB" w14:textId="77777777" w:rsidR="00230A78" w:rsidRPr="0076508B" w:rsidRDefault="00230A78" w:rsidP="00230A78">
      <w:pPr>
        <w:numPr>
          <w:ilvl w:val="0"/>
          <w:numId w:val="18"/>
        </w:numPr>
        <w:spacing w:before="100" w:beforeAutospacing="1" w:after="100" w:afterAutospacing="1" w:line="240" w:lineRule="auto"/>
      </w:pPr>
      <w:r w:rsidRPr="0076508B">
        <w:t>System matches client/owner interactions to opportunities involving that same client/owner</w:t>
      </w:r>
    </w:p>
    <w:p w14:paraId="02BBB152" w14:textId="77777777" w:rsidR="00230A78" w:rsidRPr="0076508B" w:rsidRDefault="00230A78" w:rsidP="00230A78">
      <w:pPr>
        <w:numPr>
          <w:ilvl w:val="0"/>
          <w:numId w:val="18"/>
        </w:numPr>
        <w:spacing w:before="100" w:beforeAutospacing="1" w:after="100" w:afterAutospacing="1" w:line="240" w:lineRule="auto"/>
      </w:pPr>
      <w:r w:rsidRPr="0076508B">
        <w:t>Attribution occurs when user researches a company and later works on an opportunity involving that company</w:t>
      </w:r>
    </w:p>
    <w:p w14:paraId="758E380E" w14:textId="77777777" w:rsidR="00230A78" w:rsidRPr="0076508B" w:rsidRDefault="00230A78" w:rsidP="00230A78">
      <w:pPr>
        <w:pStyle w:val="NormalWeb"/>
        <w:rPr>
          <w:rFonts w:asciiTheme="minorHAnsi" w:hAnsiTheme="minorHAnsi"/>
        </w:rPr>
      </w:pPr>
      <w:r w:rsidRPr="0076508B">
        <w:rPr>
          <w:rStyle w:val="Strong"/>
          <w:rFonts w:asciiTheme="minorHAnsi" w:eastAsiaTheme="majorEastAsia" w:hAnsiTheme="minorHAnsi"/>
        </w:rPr>
        <w:t>Attribution Rules:</w:t>
      </w:r>
    </w:p>
    <w:p w14:paraId="6C0963CD" w14:textId="574BFDDB" w:rsidR="00230A78" w:rsidRPr="0076508B" w:rsidRDefault="00230A78" w:rsidP="00230A78">
      <w:pPr>
        <w:numPr>
          <w:ilvl w:val="0"/>
          <w:numId w:val="19"/>
        </w:numPr>
        <w:spacing w:before="100" w:beforeAutospacing="1" w:after="100" w:afterAutospacing="1" w:line="240" w:lineRule="auto"/>
      </w:pPr>
      <w:r w:rsidRPr="0076508B">
        <w:rPr>
          <w:rStyle w:val="Strong"/>
        </w:rPr>
        <w:t>Sourced</w:t>
      </w:r>
      <w:r w:rsidRPr="0076508B">
        <w:t xml:space="preserve">: </w:t>
      </w:r>
      <w:r w:rsidR="00C6064D" w:rsidRPr="0076508B">
        <w:t xml:space="preserve">properties owned by the </w:t>
      </w:r>
      <w:proofErr w:type="gramStart"/>
      <w:r w:rsidRPr="0076508B">
        <w:t>Company</w:t>
      </w:r>
      <w:r w:rsidR="00C6064D" w:rsidRPr="0076508B">
        <w:t xml:space="preserve">, </w:t>
      </w:r>
      <w:r w:rsidRPr="0076508B">
        <w:t xml:space="preserve"> research</w:t>
      </w:r>
      <w:proofErr w:type="gramEnd"/>
      <w:r w:rsidRPr="0076508B">
        <w:t xml:space="preserve"> within 180 days before opportunity creation involving that company</w:t>
      </w:r>
    </w:p>
    <w:p w14:paraId="3F46A3D6" w14:textId="56D3B665" w:rsidR="00230A78" w:rsidRPr="0076508B" w:rsidRDefault="00230A78" w:rsidP="00230A78">
      <w:pPr>
        <w:numPr>
          <w:ilvl w:val="0"/>
          <w:numId w:val="19"/>
        </w:numPr>
        <w:spacing w:before="100" w:beforeAutospacing="1" w:after="100" w:afterAutospacing="1" w:line="240" w:lineRule="auto"/>
      </w:pPr>
      <w:r w:rsidRPr="0076508B">
        <w:rPr>
          <w:rStyle w:val="Strong"/>
        </w:rPr>
        <w:t>Supported</w:t>
      </w:r>
      <w:r w:rsidR="00C6064D" w:rsidRPr="0076508B">
        <w:t xml:space="preserve"> properties owned by the </w:t>
      </w:r>
      <w:proofErr w:type="gramStart"/>
      <w:r w:rsidR="00C6064D" w:rsidRPr="0076508B">
        <w:t>Company ,</w:t>
      </w:r>
      <w:proofErr w:type="gramEnd"/>
      <w:r w:rsidR="00C6064D" w:rsidRPr="0076508B">
        <w:t xml:space="preserve"> </w:t>
      </w:r>
      <w:r w:rsidRPr="0076508B">
        <w:t>research while opportunity involving that company is active</w:t>
      </w:r>
    </w:p>
    <w:p w14:paraId="14082608" w14:textId="77777777" w:rsidR="00230A78" w:rsidRPr="0076508B" w:rsidRDefault="00230A78" w:rsidP="00230A78">
      <w:pPr>
        <w:numPr>
          <w:ilvl w:val="0"/>
          <w:numId w:val="19"/>
        </w:numPr>
        <w:spacing w:before="100" w:beforeAutospacing="1" w:after="100" w:afterAutospacing="1" w:line="240" w:lineRule="auto"/>
      </w:pPr>
      <w:r w:rsidRPr="0076508B">
        <w:rPr>
          <w:rStyle w:val="Strong"/>
        </w:rPr>
        <w:t>Team Restriction</w:t>
      </w:r>
      <w:r w:rsidRPr="0076508B">
        <w:t>: Only opportunity team members can generate company-level attribution (</w:t>
      </w:r>
      <w:proofErr w:type="spellStart"/>
      <w:r w:rsidRPr="0076508B">
        <w:rPr>
          <w:rStyle w:val="HTMLCode"/>
          <w:rFonts w:asciiTheme="minorHAnsi" w:eastAsiaTheme="majorEastAsia" w:hAnsiTheme="minorHAnsi"/>
        </w:rPr>
        <w:t>is_opportunity_team_event</w:t>
      </w:r>
      <w:proofErr w:type="spellEnd"/>
      <w:r w:rsidRPr="0076508B">
        <w:rPr>
          <w:rStyle w:val="HTMLCode"/>
          <w:rFonts w:asciiTheme="minorHAnsi" w:eastAsiaTheme="majorEastAsia" w:hAnsiTheme="minorHAnsi"/>
        </w:rPr>
        <w:t xml:space="preserve"> = True</w:t>
      </w:r>
      <w:r w:rsidRPr="0076508B">
        <w:t>)</w:t>
      </w:r>
    </w:p>
    <w:p w14:paraId="71E4F395" w14:textId="17A7B9DB" w:rsidR="00606D5B" w:rsidRPr="0076508B" w:rsidRDefault="00606D5B" w:rsidP="00606D5B">
      <w:pPr>
        <w:pStyle w:val="NormalWeb"/>
        <w:spacing w:after="120" w:afterAutospacing="0"/>
        <w:rPr>
          <w:rFonts w:asciiTheme="minorHAnsi" w:hAnsiTheme="minorHAnsi"/>
        </w:rPr>
      </w:pPr>
    </w:p>
    <w:bookmarkEnd w:id="0"/>
    <w:p w14:paraId="23AE90C6" w14:textId="77777777" w:rsidR="0076508B" w:rsidRPr="00077555" w:rsidRDefault="0076508B" w:rsidP="00077555"/>
    <w:p w14:paraId="3133DD8C" w14:textId="77777777" w:rsidR="0076508B" w:rsidRPr="0076508B" w:rsidRDefault="0076508B" w:rsidP="0076508B">
      <w:pPr>
        <w:pStyle w:val="Heading1"/>
        <w:shd w:val="clear" w:color="auto" w:fill="FFFFFF"/>
        <w:spacing w:before="0"/>
        <w:rPr>
          <w:rFonts w:asciiTheme="minorHAnsi" w:hAnsiTheme="minorHAnsi"/>
          <w:color w:val="01151D"/>
          <w:spacing w:val="-4"/>
        </w:rPr>
      </w:pPr>
      <w:r w:rsidRPr="0076508B">
        <w:rPr>
          <w:rFonts w:asciiTheme="minorHAnsi" w:hAnsiTheme="minorHAnsi"/>
          <w:color w:val="01151D"/>
          <w:spacing w:val="-4"/>
        </w:rPr>
        <w:t>Data Quality and Business Logic Controls</w:t>
      </w:r>
    </w:p>
    <w:p w14:paraId="2DC720D9" w14:textId="77777777" w:rsidR="0076508B" w:rsidRPr="0076508B" w:rsidRDefault="0076508B" w:rsidP="0076508B">
      <w:pPr>
        <w:pStyle w:val="NormalWeb"/>
        <w:shd w:val="clear" w:color="auto" w:fill="FFFFFF"/>
        <w:rPr>
          <w:rFonts w:asciiTheme="minorHAnsi" w:hAnsiTheme="minorHAnsi"/>
          <w:color w:val="01151D"/>
          <w:spacing w:val="-4"/>
        </w:rPr>
      </w:pPr>
      <w:r w:rsidRPr="0076508B">
        <w:rPr>
          <w:rFonts w:asciiTheme="minorHAnsi" w:hAnsiTheme="minorHAnsi"/>
          <w:color w:val="01151D"/>
          <w:spacing w:val="-4"/>
        </w:rPr>
        <w:t>The attribution system employs </w:t>
      </w:r>
      <w:r w:rsidRPr="0076508B">
        <w:rPr>
          <w:rStyle w:val="Strong"/>
          <w:rFonts w:asciiTheme="minorHAnsi" w:eastAsiaTheme="majorEastAsia" w:hAnsiTheme="minorHAnsi"/>
          <w:color w:val="01151D"/>
          <w:spacing w:val="-4"/>
        </w:rPr>
        <w:t>16 comprehensive filtering mechanisms</w:t>
      </w:r>
      <w:r w:rsidRPr="0076508B">
        <w:rPr>
          <w:rFonts w:asciiTheme="minorHAnsi" w:hAnsiTheme="minorHAnsi"/>
          <w:color w:val="01151D"/>
          <w:spacing w:val="-4"/>
        </w:rPr>
        <w:t> to ensure accurate business intelligence and maintain data integrity throughout the sourcing attribution process:</w:t>
      </w:r>
    </w:p>
    <w:p w14:paraId="4B43E844" w14:textId="77777777" w:rsidR="0076508B" w:rsidRPr="00B37EF2" w:rsidRDefault="0076508B" w:rsidP="00B37EF2">
      <w:pPr>
        <w:pStyle w:val="Heading3"/>
        <w:rPr>
          <w:u w:val="single"/>
        </w:rPr>
      </w:pPr>
      <w:r w:rsidRPr="00B37EF2">
        <w:rPr>
          <w:u w:val="single"/>
        </w:rPr>
        <w:t>Opportunity Validity Controls</w:t>
      </w:r>
    </w:p>
    <w:p w14:paraId="18981358" w14:textId="2B730958" w:rsidR="0076508B" w:rsidRPr="0076508B" w:rsidRDefault="0076508B" w:rsidP="00B37EF2">
      <w:pPr>
        <w:pStyle w:val="NormalWeb"/>
        <w:numPr>
          <w:ilvl w:val="0"/>
          <w:numId w:val="63"/>
        </w:numPr>
        <w:shd w:val="clear" w:color="auto" w:fill="FFFFFF"/>
        <w:rPr>
          <w:rFonts w:asciiTheme="minorHAnsi" w:hAnsiTheme="minorHAnsi"/>
          <w:color w:val="01151D"/>
          <w:spacing w:val="-4"/>
        </w:rPr>
      </w:pPr>
      <w:r w:rsidRPr="0076508B">
        <w:rPr>
          <w:rStyle w:val="Strong"/>
          <w:rFonts w:asciiTheme="minorHAnsi" w:eastAsiaTheme="majorEastAsia" w:hAnsiTheme="minorHAnsi"/>
          <w:color w:val="01151D"/>
          <w:spacing w:val="-4"/>
        </w:rPr>
        <w:t>Deleted Opportunities Filter</w:t>
      </w:r>
      <w:r w:rsidRPr="0076508B">
        <w:rPr>
          <w:rFonts w:asciiTheme="minorHAnsi" w:hAnsiTheme="minorHAnsi"/>
          <w:color w:val="01151D"/>
          <w:spacing w:val="-4"/>
        </w:rPr>
        <w:t> removes opportunities flagged as deleted</w:t>
      </w:r>
      <w:r w:rsidR="00B37EF2">
        <w:rPr>
          <w:rFonts w:asciiTheme="minorHAnsi" w:hAnsiTheme="minorHAnsi"/>
          <w:color w:val="01151D"/>
          <w:spacing w:val="-4"/>
        </w:rPr>
        <w:t>.</w:t>
      </w:r>
    </w:p>
    <w:p w14:paraId="0E1E03A8" w14:textId="77777777" w:rsidR="0076508B" w:rsidRPr="0076508B" w:rsidRDefault="0076508B" w:rsidP="0076508B">
      <w:pPr>
        <w:pStyle w:val="NormalWeb"/>
        <w:numPr>
          <w:ilvl w:val="0"/>
          <w:numId w:val="63"/>
        </w:numPr>
        <w:shd w:val="clear" w:color="auto" w:fill="FFFFFF"/>
        <w:rPr>
          <w:rFonts w:asciiTheme="minorHAnsi" w:hAnsiTheme="minorHAnsi"/>
          <w:color w:val="01151D"/>
          <w:spacing w:val="-4"/>
        </w:rPr>
      </w:pPr>
      <w:r w:rsidRPr="0076508B">
        <w:rPr>
          <w:rStyle w:val="Strong"/>
          <w:rFonts w:asciiTheme="minorHAnsi" w:eastAsiaTheme="majorEastAsia" w:hAnsiTheme="minorHAnsi"/>
          <w:color w:val="01151D"/>
          <w:spacing w:val="-4"/>
        </w:rPr>
        <w:t>Closing Date Filter</w:t>
      </w:r>
      <w:r w:rsidRPr="0076508B">
        <w:rPr>
          <w:rFonts w:asciiTheme="minorHAnsi" w:hAnsiTheme="minorHAnsi"/>
          <w:color w:val="01151D"/>
          <w:spacing w:val="-4"/>
        </w:rPr>
        <w:t> restricts analysis to opportunities with target close dates within current business planning horizons (current year ±3 years). </w:t>
      </w:r>
    </w:p>
    <w:p w14:paraId="073264D4" w14:textId="1D2ACD98" w:rsidR="0076508B" w:rsidRPr="0076508B" w:rsidRDefault="0076508B" w:rsidP="0076508B">
      <w:pPr>
        <w:pStyle w:val="NormalWeb"/>
        <w:numPr>
          <w:ilvl w:val="0"/>
          <w:numId w:val="63"/>
        </w:numPr>
        <w:shd w:val="clear" w:color="auto" w:fill="FFFFFF"/>
        <w:rPr>
          <w:rFonts w:asciiTheme="minorHAnsi" w:hAnsiTheme="minorHAnsi"/>
          <w:color w:val="01151D"/>
          <w:spacing w:val="-4"/>
        </w:rPr>
      </w:pPr>
      <w:r w:rsidRPr="0076508B">
        <w:rPr>
          <w:rStyle w:val="Strong"/>
          <w:rFonts w:asciiTheme="minorHAnsi" w:eastAsiaTheme="majorEastAsia" w:hAnsiTheme="minorHAnsi"/>
          <w:color w:val="01151D"/>
          <w:spacing w:val="-4"/>
        </w:rPr>
        <w:t>Event After Closing Date Filter</w:t>
      </w:r>
      <w:r w:rsidRPr="0076508B">
        <w:rPr>
          <w:rFonts w:asciiTheme="minorHAnsi" w:hAnsiTheme="minorHAnsi"/>
          <w:color w:val="01151D"/>
          <w:spacing w:val="-4"/>
        </w:rPr>
        <w:t> prevents attribution from interactions occurring after opportunity closure, ensuring temporal accuracy in sourcing analysis.</w:t>
      </w:r>
    </w:p>
    <w:p w14:paraId="3352D09D" w14:textId="77777777" w:rsidR="0076508B" w:rsidRPr="00B37EF2" w:rsidRDefault="0076508B" w:rsidP="00B37EF2">
      <w:pPr>
        <w:pStyle w:val="Heading3"/>
        <w:rPr>
          <w:u w:val="single"/>
        </w:rPr>
      </w:pPr>
      <w:r w:rsidRPr="00B37EF2">
        <w:rPr>
          <w:u w:val="single"/>
        </w:rPr>
        <w:t>User and Team Authorization Controls</w:t>
      </w:r>
    </w:p>
    <w:p w14:paraId="1DD6AAA7" w14:textId="77777777" w:rsidR="0076508B" w:rsidRPr="0076508B" w:rsidRDefault="0076508B" w:rsidP="0076508B">
      <w:pPr>
        <w:pStyle w:val="NormalWeb"/>
        <w:numPr>
          <w:ilvl w:val="0"/>
          <w:numId w:val="64"/>
        </w:numPr>
        <w:shd w:val="clear" w:color="auto" w:fill="FFFFFF"/>
        <w:rPr>
          <w:rFonts w:asciiTheme="minorHAnsi" w:hAnsiTheme="minorHAnsi"/>
          <w:color w:val="01151D"/>
          <w:spacing w:val="-4"/>
        </w:rPr>
      </w:pPr>
      <w:r w:rsidRPr="0076508B">
        <w:rPr>
          <w:rStyle w:val="Strong"/>
          <w:rFonts w:asciiTheme="minorHAnsi" w:eastAsiaTheme="majorEastAsia" w:hAnsiTheme="minorHAnsi"/>
          <w:color w:val="01151D"/>
          <w:spacing w:val="-4"/>
        </w:rPr>
        <w:t>Excluded User Filter</w:t>
      </w:r>
      <w:r w:rsidRPr="0076508B">
        <w:rPr>
          <w:rFonts w:asciiTheme="minorHAnsi" w:hAnsiTheme="minorHAnsi"/>
          <w:color w:val="01151D"/>
          <w:spacing w:val="-4"/>
        </w:rPr>
        <w:t> removes interactions from users designated on internal exclusion lists to maintain attribution quality. </w:t>
      </w:r>
    </w:p>
    <w:p w14:paraId="50A426C9" w14:textId="77777777" w:rsidR="0076508B" w:rsidRPr="0076508B" w:rsidRDefault="0076508B" w:rsidP="0076508B">
      <w:pPr>
        <w:pStyle w:val="NormalWeb"/>
        <w:numPr>
          <w:ilvl w:val="0"/>
          <w:numId w:val="64"/>
        </w:numPr>
        <w:shd w:val="clear" w:color="auto" w:fill="FFFFFF"/>
        <w:rPr>
          <w:rFonts w:asciiTheme="minorHAnsi" w:hAnsiTheme="minorHAnsi"/>
          <w:color w:val="01151D"/>
          <w:spacing w:val="-4"/>
        </w:rPr>
      </w:pPr>
      <w:r w:rsidRPr="0076508B">
        <w:rPr>
          <w:rStyle w:val="Strong"/>
          <w:rFonts w:asciiTheme="minorHAnsi" w:eastAsiaTheme="majorEastAsia" w:hAnsiTheme="minorHAnsi"/>
          <w:color w:val="01151D"/>
          <w:spacing w:val="-4"/>
        </w:rPr>
        <w:t>Excluded Broker Filter</w:t>
      </w:r>
      <w:r w:rsidRPr="0076508B">
        <w:rPr>
          <w:rFonts w:asciiTheme="minorHAnsi" w:hAnsiTheme="minorHAnsi"/>
          <w:color w:val="01151D"/>
          <w:spacing w:val="-4"/>
        </w:rPr>
        <w:t> excludes opportunities where primary brokers are on exclusion lists, ensuring only qualified personnel contribute to attribution metrics. </w:t>
      </w:r>
    </w:p>
    <w:p w14:paraId="0B19E856" w14:textId="4F5D7D7E" w:rsidR="0076508B" w:rsidRPr="0076508B" w:rsidRDefault="0076508B" w:rsidP="0076508B">
      <w:pPr>
        <w:pStyle w:val="NormalWeb"/>
        <w:numPr>
          <w:ilvl w:val="0"/>
          <w:numId w:val="64"/>
        </w:numPr>
        <w:shd w:val="clear" w:color="auto" w:fill="FFFFFF"/>
        <w:rPr>
          <w:rFonts w:asciiTheme="minorHAnsi" w:hAnsiTheme="minorHAnsi"/>
          <w:color w:val="01151D"/>
          <w:spacing w:val="-4"/>
        </w:rPr>
      </w:pPr>
      <w:r w:rsidRPr="0076508B">
        <w:rPr>
          <w:rStyle w:val="Strong"/>
          <w:rFonts w:asciiTheme="minorHAnsi" w:eastAsiaTheme="majorEastAsia" w:hAnsiTheme="minorHAnsi"/>
          <w:color w:val="01151D"/>
          <w:spacing w:val="-4"/>
        </w:rPr>
        <w:lastRenderedPageBreak/>
        <w:t>Client Attribution Team Filter</w:t>
      </w:r>
      <w:r w:rsidRPr="0076508B">
        <w:rPr>
          <w:rFonts w:asciiTheme="minorHAnsi" w:hAnsiTheme="minorHAnsi"/>
          <w:color w:val="01151D"/>
          <w:spacing w:val="-4"/>
        </w:rPr>
        <w:t> ensures only opportunity team members can generate company-level sourcing events for client research activities, maintaining accountability and accuracy.</w:t>
      </w:r>
    </w:p>
    <w:p w14:paraId="7BF2E1C9" w14:textId="77777777" w:rsidR="0076508B" w:rsidRPr="00B37EF2" w:rsidRDefault="0076508B" w:rsidP="00B37EF2">
      <w:pPr>
        <w:pStyle w:val="Heading3"/>
        <w:rPr>
          <w:u w:val="single"/>
        </w:rPr>
      </w:pPr>
      <w:r w:rsidRPr="00B37EF2">
        <w:rPr>
          <w:u w:val="single"/>
        </w:rPr>
        <w:t>Business Line Exclusions</w:t>
      </w:r>
    </w:p>
    <w:p w14:paraId="2FCCE537" w14:textId="77777777" w:rsidR="0076508B" w:rsidRPr="0076508B" w:rsidRDefault="0076508B" w:rsidP="0076508B">
      <w:pPr>
        <w:pStyle w:val="NormalWeb"/>
        <w:numPr>
          <w:ilvl w:val="0"/>
          <w:numId w:val="65"/>
        </w:numPr>
        <w:shd w:val="clear" w:color="auto" w:fill="FFFFFF"/>
        <w:rPr>
          <w:rFonts w:asciiTheme="minorHAnsi" w:hAnsiTheme="minorHAnsi"/>
          <w:color w:val="01151D"/>
          <w:spacing w:val="-4"/>
        </w:rPr>
      </w:pPr>
      <w:r w:rsidRPr="0076508B">
        <w:rPr>
          <w:rStyle w:val="Strong"/>
          <w:rFonts w:asciiTheme="minorHAnsi" w:eastAsiaTheme="majorEastAsia" w:hAnsiTheme="minorHAnsi"/>
          <w:color w:val="01151D"/>
          <w:spacing w:val="-4"/>
        </w:rPr>
        <w:t>Valuation Advisory Filter</w:t>
      </w:r>
      <w:r w:rsidRPr="0076508B">
        <w:rPr>
          <w:rFonts w:asciiTheme="minorHAnsi" w:hAnsiTheme="minorHAnsi"/>
          <w:color w:val="01151D"/>
          <w:spacing w:val="-4"/>
        </w:rPr>
        <w:t>, </w:t>
      </w:r>
      <w:r w:rsidRPr="0076508B">
        <w:rPr>
          <w:rStyle w:val="Strong"/>
          <w:rFonts w:asciiTheme="minorHAnsi" w:eastAsiaTheme="majorEastAsia" w:hAnsiTheme="minorHAnsi"/>
          <w:color w:val="01151D"/>
          <w:spacing w:val="-4"/>
        </w:rPr>
        <w:t>Milestone Fee Filter</w:t>
      </w:r>
      <w:r w:rsidRPr="0076508B">
        <w:rPr>
          <w:rFonts w:asciiTheme="minorHAnsi" w:hAnsiTheme="minorHAnsi"/>
          <w:color w:val="01151D"/>
          <w:spacing w:val="-4"/>
        </w:rPr>
        <w:t>, and </w:t>
      </w:r>
      <w:r w:rsidRPr="0076508B">
        <w:rPr>
          <w:rStyle w:val="Strong"/>
          <w:rFonts w:asciiTheme="minorHAnsi" w:eastAsiaTheme="majorEastAsia" w:hAnsiTheme="minorHAnsi"/>
          <w:color w:val="01151D"/>
          <w:spacing w:val="-4"/>
        </w:rPr>
        <w:t>Agency Lending Premium Filter</w:t>
      </w:r>
      <w:r w:rsidRPr="0076508B">
        <w:rPr>
          <w:rFonts w:asciiTheme="minorHAnsi" w:hAnsiTheme="minorHAnsi"/>
          <w:color w:val="01151D"/>
          <w:spacing w:val="-4"/>
        </w:rPr>
        <w:t> systematically exclude specific opportunity types that don't align with standard sourcing attribution models. These filters remove valuation advisory services, fee split structures, and agency lending premium transactions respectively, maintaining focus on core business development activities that demonstrate platform value.</w:t>
      </w:r>
    </w:p>
    <w:p w14:paraId="628238EF" w14:textId="77777777" w:rsidR="0076508B" w:rsidRPr="0076508B" w:rsidRDefault="0076508B" w:rsidP="0076508B">
      <w:pPr>
        <w:pStyle w:val="Heading2"/>
        <w:shd w:val="clear" w:color="auto" w:fill="FFFFFF"/>
        <w:rPr>
          <w:rFonts w:asciiTheme="minorHAnsi" w:hAnsiTheme="minorHAnsi"/>
          <w:color w:val="01151D"/>
          <w:spacing w:val="-4"/>
        </w:rPr>
      </w:pPr>
      <w:r w:rsidRPr="0076508B">
        <w:rPr>
          <w:rFonts w:asciiTheme="minorHAnsi" w:hAnsiTheme="minorHAnsi"/>
          <w:color w:val="01151D"/>
          <w:spacing w:val="-4"/>
        </w:rPr>
        <w:t>Geographic and Event Authorization</w:t>
      </w:r>
    </w:p>
    <w:p w14:paraId="38A2F34E" w14:textId="77777777" w:rsidR="0076508B" w:rsidRPr="0076508B" w:rsidRDefault="0076508B" w:rsidP="0076508B">
      <w:pPr>
        <w:pStyle w:val="NormalWeb"/>
        <w:numPr>
          <w:ilvl w:val="0"/>
          <w:numId w:val="65"/>
        </w:numPr>
        <w:shd w:val="clear" w:color="auto" w:fill="FFFFFF"/>
        <w:rPr>
          <w:rFonts w:asciiTheme="minorHAnsi" w:hAnsiTheme="minorHAnsi"/>
          <w:color w:val="01151D"/>
          <w:spacing w:val="-4"/>
        </w:rPr>
      </w:pPr>
      <w:r w:rsidRPr="0076508B">
        <w:rPr>
          <w:rStyle w:val="Strong"/>
          <w:rFonts w:asciiTheme="minorHAnsi" w:eastAsiaTheme="majorEastAsia" w:hAnsiTheme="minorHAnsi"/>
          <w:color w:val="01151D"/>
          <w:spacing w:val="-4"/>
        </w:rPr>
        <w:t>Cross-Region Attribution Filter</w:t>
      </w:r>
      <w:r w:rsidRPr="0076508B">
        <w:rPr>
          <w:rFonts w:asciiTheme="minorHAnsi" w:hAnsiTheme="minorHAnsi"/>
          <w:color w:val="01151D"/>
          <w:spacing w:val="-4"/>
        </w:rPr>
        <w:t> implements sophisticated logic allowing attribution only when opportunity team regions align with user regions, parties have unknown regional assignments, either party operates at global level, or attribution falls outside standard categories. </w:t>
      </w:r>
    </w:p>
    <w:p w14:paraId="38CF0D61" w14:textId="14B681EC" w:rsidR="0076508B" w:rsidRPr="0076508B" w:rsidRDefault="0076508B" w:rsidP="0076508B">
      <w:pPr>
        <w:pStyle w:val="NormalWeb"/>
        <w:numPr>
          <w:ilvl w:val="0"/>
          <w:numId w:val="65"/>
        </w:numPr>
        <w:shd w:val="clear" w:color="auto" w:fill="FFFFFF"/>
        <w:rPr>
          <w:rFonts w:asciiTheme="minorHAnsi" w:hAnsiTheme="minorHAnsi"/>
          <w:color w:val="01151D"/>
          <w:spacing w:val="-4"/>
        </w:rPr>
      </w:pPr>
      <w:r w:rsidRPr="0076508B">
        <w:rPr>
          <w:rStyle w:val="Strong"/>
          <w:rFonts w:asciiTheme="minorHAnsi" w:eastAsiaTheme="majorEastAsia" w:hAnsiTheme="minorHAnsi"/>
          <w:color w:val="01151D"/>
          <w:spacing w:val="-4"/>
        </w:rPr>
        <w:t>Hunger Games Same Office Filter</w:t>
      </w:r>
      <w:r w:rsidRPr="0076508B">
        <w:rPr>
          <w:rFonts w:asciiTheme="minorHAnsi" w:hAnsiTheme="minorHAnsi"/>
          <w:color w:val="01151D"/>
          <w:spacing w:val="-4"/>
        </w:rPr>
        <w:t> restricts hunger games event attribution to same-office interactions, ensuring geographic relevance.</w:t>
      </w:r>
    </w:p>
    <w:p w14:paraId="7A4112EF" w14:textId="77777777" w:rsidR="0076508B" w:rsidRPr="0076508B" w:rsidRDefault="0076508B" w:rsidP="0076508B">
      <w:pPr>
        <w:pStyle w:val="Heading2"/>
        <w:shd w:val="clear" w:color="auto" w:fill="FFFFFF"/>
        <w:rPr>
          <w:rFonts w:asciiTheme="minorHAnsi" w:hAnsiTheme="minorHAnsi"/>
          <w:color w:val="01151D"/>
          <w:spacing w:val="-4"/>
        </w:rPr>
      </w:pPr>
      <w:r w:rsidRPr="0076508B">
        <w:rPr>
          <w:rFonts w:asciiTheme="minorHAnsi" w:hAnsiTheme="minorHAnsi"/>
          <w:color w:val="01151D"/>
          <w:spacing w:val="-4"/>
        </w:rPr>
        <w:t>Timing and Quality Controls</w:t>
      </w:r>
    </w:p>
    <w:p w14:paraId="10DBD9A0" w14:textId="77777777" w:rsidR="0076508B" w:rsidRPr="0076508B" w:rsidRDefault="0076508B" w:rsidP="0076508B">
      <w:pPr>
        <w:pStyle w:val="NormalWeb"/>
        <w:numPr>
          <w:ilvl w:val="0"/>
          <w:numId w:val="66"/>
        </w:numPr>
        <w:shd w:val="clear" w:color="auto" w:fill="FFFFFF"/>
        <w:rPr>
          <w:rFonts w:asciiTheme="minorHAnsi" w:hAnsiTheme="minorHAnsi"/>
          <w:color w:val="01151D"/>
          <w:spacing w:val="-4"/>
        </w:rPr>
      </w:pPr>
      <w:r w:rsidRPr="0076508B">
        <w:rPr>
          <w:rStyle w:val="Strong"/>
          <w:rFonts w:asciiTheme="minorHAnsi" w:eastAsiaTheme="majorEastAsia" w:hAnsiTheme="minorHAnsi"/>
          <w:color w:val="01151D"/>
          <w:spacing w:val="-4"/>
        </w:rPr>
        <w:t>Sourcing Time Window Filter</w:t>
      </w:r>
      <w:r w:rsidRPr="0076508B">
        <w:rPr>
          <w:rFonts w:asciiTheme="minorHAnsi" w:hAnsiTheme="minorHAnsi"/>
          <w:color w:val="01151D"/>
          <w:spacing w:val="-4"/>
        </w:rPr>
        <w:t xml:space="preserve"> restricts sourced attribution to interactions occurring within 180 days preceding opportunity creation (with </w:t>
      </w:r>
      <w:proofErr w:type="spellStart"/>
      <w:r w:rsidRPr="0076508B">
        <w:rPr>
          <w:rFonts w:asciiTheme="minorHAnsi" w:hAnsiTheme="minorHAnsi"/>
          <w:color w:val="01151D"/>
          <w:spacing w:val="-4"/>
        </w:rPr>
        <w:t>timezone</w:t>
      </w:r>
      <w:proofErr w:type="spellEnd"/>
      <w:r w:rsidRPr="0076508B">
        <w:rPr>
          <w:rFonts w:asciiTheme="minorHAnsi" w:hAnsiTheme="minorHAnsi"/>
          <w:color w:val="01151D"/>
          <w:spacing w:val="-4"/>
        </w:rPr>
        <w:t xml:space="preserve"> buffer accommodation). </w:t>
      </w:r>
    </w:p>
    <w:p w14:paraId="5E21E6A8" w14:textId="77777777" w:rsidR="0076508B" w:rsidRPr="0076508B" w:rsidRDefault="0076508B" w:rsidP="0076508B">
      <w:pPr>
        <w:pStyle w:val="NormalWeb"/>
        <w:numPr>
          <w:ilvl w:val="0"/>
          <w:numId w:val="66"/>
        </w:numPr>
        <w:shd w:val="clear" w:color="auto" w:fill="FFFFFF"/>
        <w:rPr>
          <w:rFonts w:asciiTheme="minorHAnsi" w:hAnsiTheme="minorHAnsi"/>
          <w:color w:val="01151D"/>
          <w:spacing w:val="-4"/>
        </w:rPr>
      </w:pPr>
      <w:r w:rsidRPr="0076508B">
        <w:rPr>
          <w:rStyle w:val="Strong"/>
          <w:rFonts w:asciiTheme="minorHAnsi" w:eastAsiaTheme="majorEastAsia" w:hAnsiTheme="minorHAnsi"/>
          <w:color w:val="01151D"/>
          <w:spacing w:val="-4"/>
        </w:rPr>
        <w:t>Supported Events Time Window Filter</w:t>
      </w:r>
      <w:r w:rsidRPr="0076508B">
        <w:rPr>
          <w:rFonts w:asciiTheme="minorHAnsi" w:hAnsiTheme="minorHAnsi"/>
          <w:color w:val="01151D"/>
          <w:spacing w:val="-4"/>
        </w:rPr>
        <w:t> ensures supporting interactions align with active opportunity periods for closed opportunities. </w:t>
      </w:r>
    </w:p>
    <w:p w14:paraId="2D804CB7" w14:textId="5D38910F" w:rsidR="0076508B" w:rsidRPr="0076508B" w:rsidRDefault="0076508B" w:rsidP="0076508B">
      <w:pPr>
        <w:pStyle w:val="NormalWeb"/>
        <w:numPr>
          <w:ilvl w:val="0"/>
          <w:numId w:val="66"/>
        </w:numPr>
        <w:shd w:val="clear" w:color="auto" w:fill="FFFFFF"/>
        <w:rPr>
          <w:rFonts w:asciiTheme="minorHAnsi" w:hAnsiTheme="minorHAnsi"/>
          <w:color w:val="01151D"/>
          <w:spacing w:val="-4"/>
        </w:rPr>
      </w:pPr>
      <w:r w:rsidRPr="0076508B">
        <w:rPr>
          <w:rStyle w:val="Strong"/>
          <w:rFonts w:asciiTheme="minorHAnsi" w:eastAsiaTheme="majorEastAsia" w:hAnsiTheme="minorHAnsi"/>
          <w:color w:val="01151D"/>
          <w:spacing w:val="-4"/>
        </w:rPr>
        <w:t>Roadshow Events Filter</w:t>
      </w:r>
      <w:r w:rsidRPr="0076508B">
        <w:rPr>
          <w:rFonts w:asciiTheme="minorHAnsi" w:hAnsiTheme="minorHAnsi"/>
          <w:color w:val="01151D"/>
          <w:spacing w:val="-4"/>
        </w:rPr>
        <w:t> removes demonstration interactions from February-July 2022 that don't represent genuine business development activities.</w:t>
      </w:r>
    </w:p>
    <w:p w14:paraId="2E0BE5EB" w14:textId="77777777" w:rsidR="0076508B" w:rsidRPr="0076508B" w:rsidRDefault="0076508B" w:rsidP="0076508B">
      <w:pPr>
        <w:pStyle w:val="Heading2"/>
        <w:shd w:val="clear" w:color="auto" w:fill="FFFFFF"/>
        <w:rPr>
          <w:rFonts w:asciiTheme="minorHAnsi" w:hAnsiTheme="minorHAnsi"/>
          <w:color w:val="01151D"/>
          <w:spacing w:val="-4"/>
        </w:rPr>
      </w:pPr>
      <w:r w:rsidRPr="0076508B">
        <w:rPr>
          <w:rFonts w:asciiTheme="minorHAnsi" w:hAnsiTheme="minorHAnsi"/>
          <w:color w:val="01151D"/>
          <w:spacing w:val="-4"/>
        </w:rPr>
        <w:t>Export Volume Management</w:t>
      </w:r>
    </w:p>
    <w:p w14:paraId="484B3D0D" w14:textId="77777777" w:rsidR="0076508B" w:rsidRPr="0076508B" w:rsidRDefault="0076508B" w:rsidP="0076508B">
      <w:pPr>
        <w:pStyle w:val="NormalWeb"/>
        <w:numPr>
          <w:ilvl w:val="0"/>
          <w:numId w:val="67"/>
        </w:numPr>
        <w:shd w:val="clear" w:color="auto" w:fill="FFFFFF"/>
        <w:rPr>
          <w:rFonts w:asciiTheme="minorHAnsi" w:hAnsiTheme="minorHAnsi"/>
          <w:color w:val="01151D"/>
          <w:spacing w:val="-4"/>
        </w:rPr>
      </w:pPr>
      <w:r w:rsidRPr="0076508B">
        <w:rPr>
          <w:rStyle w:val="Strong"/>
          <w:rFonts w:asciiTheme="minorHAnsi" w:eastAsiaTheme="majorEastAsia" w:hAnsiTheme="minorHAnsi"/>
          <w:color w:val="01151D"/>
          <w:spacing w:val="-4"/>
        </w:rPr>
        <w:t>Maximum Export Size Filter</w:t>
      </w:r>
      <w:r w:rsidRPr="0076508B">
        <w:rPr>
          <w:rFonts w:asciiTheme="minorHAnsi" w:hAnsiTheme="minorHAnsi"/>
          <w:color w:val="01151D"/>
          <w:spacing w:val="-4"/>
        </w:rPr>
        <w:t> excludes bulk exports exceeding 200 properties before October 2022 to prevent artificial attribution inflation from administrative activities. </w:t>
      </w:r>
    </w:p>
    <w:p w14:paraId="19802F42" w14:textId="3AEA444E" w:rsidR="0076508B" w:rsidRPr="0076508B" w:rsidRDefault="0076508B" w:rsidP="0076508B">
      <w:pPr>
        <w:pStyle w:val="NormalWeb"/>
        <w:numPr>
          <w:ilvl w:val="0"/>
          <w:numId w:val="67"/>
        </w:numPr>
        <w:shd w:val="clear" w:color="auto" w:fill="FFFFFF"/>
        <w:rPr>
          <w:rFonts w:asciiTheme="minorHAnsi" w:hAnsiTheme="minorHAnsi"/>
          <w:color w:val="01151D"/>
          <w:spacing w:val="-4"/>
        </w:rPr>
      </w:pPr>
      <w:r w:rsidRPr="0076508B">
        <w:rPr>
          <w:rStyle w:val="Strong"/>
          <w:rFonts w:asciiTheme="minorHAnsi" w:eastAsiaTheme="majorEastAsia" w:hAnsiTheme="minorHAnsi"/>
          <w:color w:val="01151D"/>
          <w:spacing w:val="-4"/>
        </w:rPr>
        <w:t>Client Events from Sourcing Filter</w:t>
      </w:r>
      <w:r w:rsidRPr="0076508B">
        <w:rPr>
          <w:rFonts w:asciiTheme="minorHAnsi" w:hAnsiTheme="minorHAnsi"/>
          <w:color w:val="01151D"/>
          <w:spacing w:val="-4"/>
        </w:rPr>
        <w:t> segregates client-level research events from property-specific sourcing to maintain distinct attribution methodologies and prevent double-counting.</w:t>
      </w:r>
    </w:p>
    <w:p w14:paraId="051DC0F0" w14:textId="77777777" w:rsidR="0076508B" w:rsidRDefault="0076508B" w:rsidP="0076508B">
      <w:pPr>
        <w:shd w:val="clear" w:color="auto" w:fill="FFFFFF"/>
        <w:rPr>
          <w:rFonts w:ascii="Source Sans Pro" w:hAnsi="Source Sans Pro"/>
          <w:color w:val="01151D"/>
          <w:spacing w:val="-4"/>
        </w:rPr>
      </w:pPr>
    </w:p>
    <w:p w14:paraId="0A7282C0" w14:textId="299026EF" w:rsidR="00882058" w:rsidRPr="00BD3727" w:rsidRDefault="00882058" w:rsidP="00882058"/>
    <w:sectPr w:rsidR="00882058" w:rsidRPr="00BD372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ans Pro">
    <w:panose1 w:val="020B0503030403020204"/>
    <w:charset w:val="00"/>
    <w:family w:val="swiss"/>
    <w:pitch w:val="variable"/>
    <w:sig w:usb0="600002F7" w:usb1="02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77287"/>
    <w:multiLevelType w:val="multilevel"/>
    <w:tmpl w:val="F740D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D973AC"/>
    <w:multiLevelType w:val="multilevel"/>
    <w:tmpl w:val="BF7696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9D723A"/>
    <w:multiLevelType w:val="multilevel"/>
    <w:tmpl w:val="BB6E0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77493E"/>
    <w:multiLevelType w:val="multilevel"/>
    <w:tmpl w:val="42A89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2C7CB2"/>
    <w:multiLevelType w:val="multilevel"/>
    <w:tmpl w:val="36D6F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B05AC3"/>
    <w:multiLevelType w:val="multilevel"/>
    <w:tmpl w:val="86FAA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CC7A9E"/>
    <w:multiLevelType w:val="multilevel"/>
    <w:tmpl w:val="B3041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ED7DA5"/>
    <w:multiLevelType w:val="hybridMultilevel"/>
    <w:tmpl w:val="DECCC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3823C4"/>
    <w:multiLevelType w:val="multilevel"/>
    <w:tmpl w:val="94DAD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3A673C"/>
    <w:multiLevelType w:val="multilevel"/>
    <w:tmpl w:val="58669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417F5C"/>
    <w:multiLevelType w:val="multilevel"/>
    <w:tmpl w:val="94388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96058E"/>
    <w:multiLevelType w:val="multilevel"/>
    <w:tmpl w:val="9CD8A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A443A3"/>
    <w:multiLevelType w:val="multilevel"/>
    <w:tmpl w:val="281E9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BD6472"/>
    <w:multiLevelType w:val="hybridMultilevel"/>
    <w:tmpl w:val="E7D67A98"/>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2944398"/>
    <w:multiLevelType w:val="multilevel"/>
    <w:tmpl w:val="BB066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A24815"/>
    <w:multiLevelType w:val="multilevel"/>
    <w:tmpl w:val="3AB8F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3441542"/>
    <w:multiLevelType w:val="multilevel"/>
    <w:tmpl w:val="727C60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3B87467"/>
    <w:multiLevelType w:val="multilevel"/>
    <w:tmpl w:val="D5547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4B0318C"/>
    <w:multiLevelType w:val="hybridMultilevel"/>
    <w:tmpl w:val="0C9061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4BC68B9"/>
    <w:multiLevelType w:val="hybridMultilevel"/>
    <w:tmpl w:val="B4BE57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4E22616"/>
    <w:multiLevelType w:val="hybridMultilevel"/>
    <w:tmpl w:val="E1F2C5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55D0982"/>
    <w:multiLevelType w:val="multilevel"/>
    <w:tmpl w:val="08608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5666296"/>
    <w:multiLevelType w:val="multilevel"/>
    <w:tmpl w:val="DCC4D7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9FF526A"/>
    <w:multiLevelType w:val="multilevel"/>
    <w:tmpl w:val="D8D28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AEF4116"/>
    <w:multiLevelType w:val="multilevel"/>
    <w:tmpl w:val="3FB68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D28174D"/>
    <w:multiLevelType w:val="multilevel"/>
    <w:tmpl w:val="55306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DC92457"/>
    <w:multiLevelType w:val="multilevel"/>
    <w:tmpl w:val="A91AB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12510E6"/>
    <w:multiLevelType w:val="multilevel"/>
    <w:tmpl w:val="029C7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22C08AB"/>
    <w:multiLevelType w:val="multilevel"/>
    <w:tmpl w:val="7464A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2B57579"/>
    <w:multiLevelType w:val="multilevel"/>
    <w:tmpl w:val="F7507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374170E"/>
    <w:multiLevelType w:val="multilevel"/>
    <w:tmpl w:val="3A448E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4DE55F3"/>
    <w:multiLevelType w:val="multilevel"/>
    <w:tmpl w:val="330809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61F0CFD"/>
    <w:multiLevelType w:val="multilevel"/>
    <w:tmpl w:val="0630D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6B340A3"/>
    <w:multiLevelType w:val="multilevel"/>
    <w:tmpl w:val="01044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9595362"/>
    <w:multiLevelType w:val="multilevel"/>
    <w:tmpl w:val="32403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98024E4"/>
    <w:multiLevelType w:val="hybridMultilevel"/>
    <w:tmpl w:val="82986264"/>
    <w:lvl w:ilvl="0" w:tplc="E048A83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A493CE7"/>
    <w:multiLevelType w:val="multilevel"/>
    <w:tmpl w:val="71AA0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DDA1233"/>
    <w:multiLevelType w:val="multilevel"/>
    <w:tmpl w:val="CBD8B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E6038DE"/>
    <w:multiLevelType w:val="multilevel"/>
    <w:tmpl w:val="B4A00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04C6976"/>
    <w:multiLevelType w:val="multilevel"/>
    <w:tmpl w:val="61FC5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4A24C2A"/>
    <w:multiLevelType w:val="multilevel"/>
    <w:tmpl w:val="76286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5A93816"/>
    <w:multiLevelType w:val="multilevel"/>
    <w:tmpl w:val="CD246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A364491"/>
    <w:multiLevelType w:val="multilevel"/>
    <w:tmpl w:val="87041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B4D17A9"/>
    <w:multiLevelType w:val="hybridMultilevel"/>
    <w:tmpl w:val="D8061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D0A4EDC"/>
    <w:multiLevelType w:val="multilevel"/>
    <w:tmpl w:val="2CD2F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D3351F7"/>
    <w:multiLevelType w:val="multilevel"/>
    <w:tmpl w:val="54584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E8A52CE"/>
    <w:multiLevelType w:val="multilevel"/>
    <w:tmpl w:val="CDA60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1CA7F65"/>
    <w:multiLevelType w:val="multilevel"/>
    <w:tmpl w:val="5094B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3900E23"/>
    <w:multiLevelType w:val="hybridMultilevel"/>
    <w:tmpl w:val="FD8684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73260D5"/>
    <w:multiLevelType w:val="hybridMultilevel"/>
    <w:tmpl w:val="38AEE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94A2F11"/>
    <w:multiLevelType w:val="multilevel"/>
    <w:tmpl w:val="9DDEF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B8C5F6B"/>
    <w:multiLevelType w:val="multilevel"/>
    <w:tmpl w:val="D0141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C6C585A"/>
    <w:multiLevelType w:val="multilevel"/>
    <w:tmpl w:val="642EC7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E3F6229"/>
    <w:multiLevelType w:val="multilevel"/>
    <w:tmpl w:val="18A2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0C51E24"/>
    <w:multiLevelType w:val="multilevel"/>
    <w:tmpl w:val="189C9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1F65E9E"/>
    <w:multiLevelType w:val="hybridMultilevel"/>
    <w:tmpl w:val="39DC2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40A123E"/>
    <w:multiLevelType w:val="multilevel"/>
    <w:tmpl w:val="FF169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4CB0E96"/>
    <w:multiLevelType w:val="multilevel"/>
    <w:tmpl w:val="945892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669A6534"/>
    <w:multiLevelType w:val="multilevel"/>
    <w:tmpl w:val="B45A7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C2068FC"/>
    <w:multiLevelType w:val="hybridMultilevel"/>
    <w:tmpl w:val="AE0C7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1F10310"/>
    <w:multiLevelType w:val="hybridMultilevel"/>
    <w:tmpl w:val="63309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2F3134B"/>
    <w:multiLevelType w:val="multilevel"/>
    <w:tmpl w:val="C6B2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9F16377"/>
    <w:multiLevelType w:val="multilevel"/>
    <w:tmpl w:val="0D34D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A736B08"/>
    <w:multiLevelType w:val="multilevel"/>
    <w:tmpl w:val="DF0C9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B623293"/>
    <w:multiLevelType w:val="multilevel"/>
    <w:tmpl w:val="F864B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CB167A2"/>
    <w:multiLevelType w:val="multilevel"/>
    <w:tmpl w:val="23189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D242206"/>
    <w:multiLevelType w:val="multilevel"/>
    <w:tmpl w:val="CEBED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6707898">
    <w:abstractNumId w:val="48"/>
  </w:num>
  <w:num w:numId="2" w16cid:durableId="1357079811">
    <w:abstractNumId w:val="59"/>
  </w:num>
  <w:num w:numId="3" w16cid:durableId="1306349837">
    <w:abstractNumId w:val="19"/>
  </w:num>
  <w:num w:numId="4" w16cid:durableId="1265577339">
    <w:abstractNumId w:val="20"/>
  </w:num>
  <w:num w:numId="5" w16cid:durableId="914628745">
    <w:abstractNumId w:val="13"/>
  </w:num>
  <w:num w:numId="6" w16cid:durableId="208690184">
    <w:abstractNumId w:val="49"/>
  </w:num>
  <w:num w:numId="7" w16cid:durableId="1547376043">
    <w:abstractNumId w:val="34"/>
  </w:num>
  <w:num w:numId="8" w16cid:durableId="1911768810">
    <w:abstractNumId w:val="32"/>
  </w:num>
  <w:num w:numId="9" w16cid:durableId="1038706044">
    <w:abstractNumId w:val="38"/>
  </w:num>
  <w:num w:numId="10" w16cid:durableId="918366473">
    <w:abstractNumId w:val="9"/>
  </w:num>
  <w:num w:numId="11" w16cid:durableId="1836920535">
    <w:abstractNumId w:val="63"/>
  </w:num>
  <w:num w:numId="12" w16cid:durableId="806163977">
    <w:abstractNumId w:val="15"/>
  </w:num>
  <w:num w:numId="13" w16cid:durableId="1488092792">
    <w:abstractNumId w:val="10"/>
  </w:num>
  <w:num w:numId="14" w16cid:durableId="2033144371">
    <w:abstractNumId w:val="42"/>
  </w:num>
  <w:num w:numId="15" w16cid:durableId="213080077">
    <w:abstractNumId w:val="41"/>
  </w:num>
  <w:num w:numId="16" w16cid:durableId="368602606">
    <w:abstractNumId w:val="23"/>
  </w:num>
  <w:num w:numId="17" w16cid:durableId="1426925320">
    <w:abstractNumId w:val="36"/>
  </w:num>
  <w:num w:numId="18" w16cid:durableId="1347976159">
    <w:abstractNumId w:val="17"/>
  </w:num>
  <w:num w:numId="19" w16cid:durableId="266812955">
    <w:abstractNumId w:val="65"/>
  </w:num>
  <w:num w:numId="20" w16cid:durableId="189148898">
    <w:abstractNumId w:val="21"/>
  </w:num>
  <w:num w:numId="21" w16cid:durableId="1721976657">
    <w:abstractNumId w:val="52"/>
  </w:num>
  <w:num w:numId="22" w16cid:durableId="2087724727">
    <w:abstractNumId w:val="29"/>
  </w:num>
  <w:num w:numId="23" w16cid:durableId="15229154">
    <w:abstractNumId w:val="56"/>
  </w:num>
  <w:num w:numId="24" w16cid:durableId="1755591840">
    <w:abstractNumId w:val="4"/>
  </w:num>
  <w:num w:numId="25" w16cid:durableId="171067131">
    <w:abstractNumId w:val="22"/>
  </w:num>
  <w:num w:numId="26" w16cid:durableId="1320499791">
    <w:abstractNumId w:val="45"/>
  </w:num>
  <w:num w:numId="27" w16cid:durableId="172645171">
    <w:abstractNumId w:val="33"/>
  </w:num>
  <w:num w:numId="28" w16cid:durableId="586424920">
    <w:abstractNumId w:val="61"/>
  </w:num>
  <w:num w:numId="29" w16cid:durableId="1491554059">
    <w:abstractNumId w:val="27"/>
  </w:num>
  <w:num w:numId="30" w16cid:durableId="252055426">
    <w:abstractNumId w:val="11"/>
  </w:num>
  <w:num w:numId="31" w16cid:durableId="2134591909">
    <w:abstractNumId w:val="5"/>
  </w:num>
  <w:num w:numId="32" w16cid:durableId="1732190770">
    <w:abstractNumId w:val="2"/>
  </w:num>
  <w:num w:numId="33" w16cid:durableId="1825971093">
    <w:abstractNumId w:val="14"/>
  </w:num>
  <w:num w:numId="34" w16cid:durableId="486016862">
    <w:abstractNumId w:val="51"/>
  </w:num>
  <w:num w:numId="35" w16cid:durableId="1060517112">
    <w:abstractNumId w:val="44"/>
  </w:num>
  <w:num w:numId="36" w16cid:durableId="71240828">
    <w:abstractNumId w:val="50"/>
  </w:num>
  <w:num w:numId="37" w16cid:durableId="1546062894">
    <w:abstractNumId w:val="26"/>
  </w:num>
  <w:num w:numId="38" w16cid:durableId="1745298638">
    <w:abstractNumId w:val="64"/>
  </w:num>
  <w:num w:numId="39" w16cid:durableId="71246146">
    <w:abstractNumId w:val="31"/>
  </w:num>
  <w:num w:numId="40" w16cid:durableId="2038390182">
    <w:abstractNumId w:val="16"/>
  </w:num>
  <w:num w:numId="41" w16cid:durableId="1173761630">
    <w:abstractNumId w:val="58"/>
  </w:num>
  <w:num w:numId="42" w16cid:durableId="138618792">
    <w:abstractNumId w:val="6"/>
  </w:num>
  <w:num w:numId="43" w16cid:durableId="1112633702">
    <w:abstractNumId w:val="3"/>
  </w:num>
  <w:num w:numId="44" w16cid:durableId="1096945919">
    <w:abstractNumId w:val="25"/>
  </w:num>
  <w:num w:numId="45" w16cid:durableId="505822560">
    <w:abstractNumId w:val="37"/>
  </w:num>
  <w:num w:numId="46" w16cid:durableId="1712413055">
    <w:abstractNumId w:val="39"/>
  </w:num>
  <w:num w:numId="47" w16cid:durableId="708991887">
    <w:abstractNumId w:val="28"/>
  </w:num>
  <w:num w:numId="48" w16cid:durableId="1464275184">
    <w:abstractNumId w:val="47"/>
  </w:num>
  <w:num w:numId="49" w16cid:durableId="1982536963">
    <w:abstractNumId w:val="1"/>
  </w:num>
  <w:num w:numId="50" w16cid:durableId="2075545624">
    <w:abstractNumId w:val="40"/>
  </w:num>
  <w:num w:numId="51" w16cid:durableId="798457521">
    <w:abstractNumId w:val="54"/>
  </w:num>
  <w:num w:numId="52" w16cid:durableId="692650284">
    <w:abstractNumId w:val="8"/>
  </w:num>
  <w:num w:numId="53" w16cid:durableId="1046376164">
    <w:abstractNumId w:val="12"/>
  </w:num>
  <w:num w:numId="54" w16cid:durableId="1954095147">
    <w:abstractNumId w:val="0"/>
  </w:num>
  <w:num w:numId="55" w16cid:durableId="219439793">
    <w:abstractNumId w:val="46"/>
  </w:num>
  <w:num w:numId="56" w16cid:durableId="1628660873">
    <w:abstractNumId w:val="62"/>
  </w:num>
  <w:num w:numId="57" w16cid:durableId="727922116">
    <w:abstractNumId w:val="30"/>
  </w:num>
  <w:num w:numId="58" w16cid:durableId="630137768">
    <w:abstractNumId w:val="57"/>
  </w:num>
  <w:num w:numId="59" w16cid:durableId="197204854">
    <w:abstractNumId w:val="24"/>
  </w:num>
  <w:num w:numId="60" w16cid:durableId="2109888827">
    <w:abstractNumId w:val="35"/>
  </w:num>
  <w:num w:numId="61" w16cid:durableId="1460418567">
    <w:abstractNumId w:val="53"/>
  </w:num>
  <w:num w:numId="62" w16cid:durableId="2139645368">
    <w:abstractNumId w:val="66"/>
  </w:num>
  <w:num w:numId="63" w16cid:durableId="2083676287">
    <w:abstractNumId w:val="18"/>
  </w:num>
  <w:num w:numId="64" w16cid:durableId="2043745777">
    <w:abstractNumId w:val="60"/>
  </w:num>
  <w:num w:numId="65" w16cid:durableId="303774615">
    <w:abstractNumId w:val="43"/>
  </w:num>
  <w:num w:numId="66" w16cid:durableId="821118103">
    <w:abstractNumId w:val="7"/>
  </w:num>
  <w:num w:numId="67" w16cid:durableId="189078141">
    <w:abstractNumId w:val="5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AEF"/>
    <w:rsid w:val="0001737B"/>
    <w:rsid w:val="00065039"/>
    <w:rsid w:val="000720F1"/>
    <w:rsid w:val="00077555"/>
    <w:rsid w:val="00087948"/>
    <w:rsid w:val="000907A3"/>
    <w:rsid w:val="000A1C77"/>
    <w:rsid w:val="000C705F"/>
    <w:rsid w:val="000C725B"/>
    <w:rsid w:val="000D2E84"/>
    <w:rsid w:val="000E5D7E"/>
    <w:rsid w:val="000F2C45"/>
    <w:rsid w:val="001262A0"/>
    <w:rsid w:val="00137D73"/>
    <w:rsid w:val="00197AB1"/>
    <w:rsid w:val="001B3911"/>
    <w:rsid w:val="001C11A7"/>
    <w:rsid w:val="001C1F38"/>
    <w:rsid w:val="001C4BEE"/>
    <w:rsid w:val="001C59DB"/>
    <w:rsid w:val="001C69D4"/>
    <w:rsid w:val="001D5F31"/>
    <w:rsid w:val="00213CE2"/>
    <w:rsid w:val="00230A78"/>
    <w:rsid w:val="00297DDC"/>
    <w:rsid w:val="002C2A7C"/>
    <w:rsid w:val="002E48C8"/>
    <w:rsid w:val="0034393B"/>
    <w:rsid w:val="00360510"/>
    <w:rsid w:val="00373D0E"/>
    <w:rsid w:val="003B0CE8"/>
    <w:rsid w:val="003D2E61"/>
    <w:rsid w:val="003E0D6C"/>
    <w:rsid w:val="003F5689"/>
    <w:rsid w:val="00410960"/>
    <w:rsid w:val="0042419C"/>
    <w:rsid w:val="00474413"/>
    <w:rsid w:val="004D7269"/>
    <w:rsid w:val="004E7D61"/>
    <w:rsid w:val="004F379A"/>
    <w:rsid w:val="00535E50"/>
    <w:rsid w:val="00550D9E"/>
    <w:rsid w:val="005601F6"/>
    <w:rsid w:val="005B563C"/>
    <w:rsid w:val="005D35A0"/>
    <w:rsid w:val="005D5695"/>
    <w:rsid w:val="0060233E"/>
    <w:rsid w:val="006037BF"/>
    <w:rsid w:val="00606D5B"/>
    <w:rsid w:val="006138DD"/>
    <w:rsid w:val="00655702"/>
    <w:rsid w:val="006600DB"/>
    <w:rsid w:val="00662FC8"/>
    <w:rsid w:val="0067238B"/>
    <w:rsid w:val="00672AEF"/>
    <w:rsid w:val="00690081"/>
    <w:rsid w:val="006A5E62"/>
    <w:rsid w:val="006B094A"/>
    <w:rsid w:val="006C7261"/>
    <w:rsid w:val="006D3887"/>
    <w:rsid w:val="00736DEA"/>
    <w:rsid w:val="0074411A"/>
    <w:rsid w:val="0076508B"/>
    <w:rsid w:val="00766202"/>
    <w:rsid w:val="00782B6A"/>
    <w:rsid w:val="007B5C8C"/>
    <w:rsid w:val="007D5FDB"/>
    <w:rsid w:val="007F6768"/>
    <w:rsid w:val="00806F2D"/>
    <w:rsid w:val="00825D3A"/>
    <w:rsid w:val="008277D7"/>
    <w:rsid w:val="00845FBF"/>
    <w:rsid w:val="00882058"/>
    <w:rsid w:val="008D4971"/>
    <w:rsid w:val="008E11A0"/>
    <w:rsid w:val="009367FC"/>
    <w:rsid w:val="00940135"/>
    <w:rsid w:val="009406D9"/>
    <w:rsid w:val="00957243"/>
    <w:rsid w:val="0096606C"/>
    <w:rsid w:val="0097303D"/>
    <w:rsid w:val="00984D41"/>
    <w:rsid w:val="00991624"/>
    <w:rsid w:val="009F6E28"/>
    <w:rsid w:val="00A37BAE"/>
    <w:rsid w:val="00A45D1C"/>
    <w:rsid w:val="00A825B5"/>
    <w:rsid w:val="00A848A5"/>
    <w:rsid w:val="00AA08EE"/>
    <w:rsid w:val="00AC377E"/>
    <w:rsid w:val="00AC7D1C"/>
    <w:rsid w:val="00B050A7"/>
    <w:rsid w:val="00B11A23"/>
    <w:rsid w:val="00B32DF2"/>
    <w:rsid w:val="00B36272"/>
    <w:rsid w:val="00B37EF2"/>
    <w:rsid w:val="00B42FB3"/>
    <w:rsid w:val="00B51601"/>
    <w:rsid w:val="00BD3727"/>
    <w:rsid w:val="00C02878"/>
    <w:rsid w:val="00C21F59"/>
    <w:rsid w:val="00C33974"/>
    <w:rsid w:val="00C342D1"/>
    <w:rsid w:val="00C413EB"/>
    <w:rsid w:val="00C52CCB"/>
    <w:rsid w:val="00C6064D"/>
    <w:rsid w:val="00C84E29"/>
    <w:rsid w:val="00CA0823"/>
    <w:rsid w:val="00CE2AD6"/>
    <w:rsid w:val="00CF65F1"/>
    <w:rsid w:val="00D061B8"/>
    <w:rsid w:val="00D10A70"/>
    <w:rsid w:val="00D12926"/>
    <w:rsid w:val="00D51D5B"/>
    <w:rsid w:val="00DA4EED"/>
    <w:rsid w:val="00DB4D68"/>
    <w:rsid w:val="00DD271F"/>
    <w:rsid w:val="00DF5C27"/>
    <w:rsid w:val="00E049C1"/>
    <w:rsid w:val="00E118A6"/>
    <w:rsid w:val="00E67665"/>
    <w:rsid w:val="00E87765"/>
    <w:rsid w:val="00EB6C6A"/>
    <w:rsid w:val="00EB7DCC"/>
    <w:rsid w:val="00EF263E"/>
    <w:rsid w:val="00EF676F"/>
    <w:rsid w:val="00F13BC0"/>
    <w:rsid w:val="00F16F46"/>
    <w:rsid w:val="00F213ED"/>
    <w:rsid w:val="00F27C4E"/>
    <w:rsid w:val="00F94B22"/>
    <w:rsid w:val="00FA42C2"/>
    <w:rsid w:val="00FA798D"/>
    <w:rsid w:val="00FD5203"/>
    <w:rsid w:val="0A6F1E44"/>
    <w:rsid w:val="172C1BA4"/>
    <w:rsid w:val="17B625F5"/>
    <w:rsid w:val="1B70D598"/>
    <w:rsid w:val="211D6F5D"/>
    <w:rsid w:val="2E32F731"/>
    <w:rsid w:val="41BE0303"/>
    <w:rsid w:val="44F407EF"/>
    <w:rsid w:val="47D9AF8C"/>
    <w:rsid w:val="66A1D4EA"/>
    <w:rsid w:val="78CF114B"/>
    <w:rsid w:val="7E110C7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398BC"/>
  <w15:chartTrackingRefBased/>
  <w15:docId w15:val="{D8EE3220-2689-4A9C-B289-525CD9BB0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08EE"/>
  </w:style>
  <w:style w:type="paragraph" w:styleId="Heading1">
    <w:name w:val="heading 1"/>
    <w:basedOn w:val="Normal"/>
    <w:next w:val="Normal"/>
    <w:link w:val="Heading1Char"/>
    <w:uiPriority w:val="9"/>
    <w:qFormat/>
    <w:rsid w:val="00672A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72A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72A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2A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2A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2A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2A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2A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2A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2A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72A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72A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2A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2A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2A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2A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2A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2AEF"/>
    <w:rPr>
      <w:rFonts w:eastAsiaTheme="majorEastAsia" w:cstheme="majorBidi"/>
      <w:color w:val="272727" w:themeColor="text1" w:themeTint="D8"/>
    </w:rPr>
  </w:style>
  <w:style w:type="paragraph" w:styleId="Title">
    <w:name w:val="Title"/>
    <w:basedOn w:val="Normal"/>
    <w:next w:val="Normal"/>
    <w:link w:val="TitleChar"/>
    <w:uiPriority w:val="10"/>
    <w:qFormat/>
    <w:rsid w:val="00672A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2A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2A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2A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2AEF"/>
    <w:pPr>
      <w:spacing w:before="160"/>
      <w:jc w:val="center"/>
    </w:pPr>
    <w:rPr>
      <w:i/>
      <w:iCs/>
      <w:color w:val="404040" w:themeColor="text1" w:themeTint="BF"/>
    </w:rPr>
  </w:style>
  <w:style w:type="character" w:customStyle="1" w:styleId="QuoteChar">
    <w:name w:val="Quote Char"/>
    <w:basedOn w:val="DefaultParagraphFont"/>
    <w:link w:val="Quote"/>
    <w:uiPriority w:val="29"/>
    <w:rsid w:val="00672AEF"/>
    <w:rPr>
      <w:i/>
      <w:iCs/>
      <w:color w:val="404040" w:themeColor="text1" w:themeTint="BF"/>
    </w:rPr>
  </w:style>
  <w:style w:type="paragraph" w:styleId="ListParagraph">
    <w:name w:val="List Paragraph"/>
    <w:basedOn w:val="Normal"/>
    <w:uiPriority w:val="34"/>
    <w:qFormat/>
    <w:rsid w:val="00672AEF"/>
    <w:pPr>
      <w:ind w:left="720"/>
      <w:contextualSpacing/>
    </w:pPr>
  </w:style>
  <w:style w:type="character" w:styleId="IntenseEmphasis">
    <w:name w:val="Intense Emphasis"/>
    <w:basedOn w:val="DefaultParagraphFont"/>
    <w:uiPriority w:val="21"/>
    <w:qFormat/>
    <w:rsid w:val="00672AEF"/>
    <w:rPr>
      <w:i/>
      <w:iCs/>
      <w:color w:val="0F4761" w:themeColor="accent1" w:themeShade="BF"/>
    </w:rPr>
  </w:style>
  <w:style w:type="paragraph" w:styleId="IntenseQuote">
    <w:name w:val="Intense Quote"/>
    <w:basedOn w:val="Normal"/>
    <w:next w:val="Normal"/>
    <w:link w:val="IntenseQuoteChar"/>
    <w:uiPriority w:val="30"/>
    <w:qFormat/>
    <w:rsid w:val="00672A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2AEF"/>
    <w:rPr>
      <w:i/>
      <w:iCs/>
      <w:color w:val="0F4761" w:themeColor="accent1" w:themeShade="BF"/>
    </w:rPr>
  </w:style>
  <w:style w:type="character" w:styleId="IntenseReference">
    <w:name w:val="Intense Reference"/>
    <w:basedOn w:val="DefaultParagraphFont"/>
    <w:uiPriority w:val="32"/>
    <w:qFormat/>
    <w:rsid w:val="00672AEF"/>
    <w:rPr>
      <w:b/>
      <w:bCs/>
      <w:smallCaps/>
      <w:color w:val="0F4761" w:themeColor="accent1" w:themeShade="BF"/>
      <w:spacing w:val="5"/>
    </w:rPr>
  </w:style>
  <w:style w:type="table" w:styleId="TableGrid">
    <w:name w:val="Table Grid"/>
    <w:basedOn w:val="TableNormal"/>
    <w:uiPriority w:val="39"/>
    <w:rsid w:val="00672A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4393B"/>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34393B"/>
    <w:rPr>
      <w:b/>
      <w:bCs/>
    </w:rPr>
  </w:style>
  <w:style w:type="character" w:styleId="HTMLCode">
    <w:name w:val="HTML Code"/>
    <w:basedOn w:val="DefaultParagraphFont"/>
    <w:uiPriority w:val="99"/>
    <w:semiHidden/>
    <w:unhideWhenUsed/>
    <w:rsid w:val="0034393B"/>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731</Words>
  <Characters>4173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Karlik, Naty</dc:creator>
  <cp:keywords/>
  <dc:description/>
  <cp:lastModifiedBy>Elmaliach, Eyal</cp:lastModifiedBy>
  <cp:revision>2</cp:revision>
  <dcterms:created xsi:type="dcterms:W3CDTF">2025-11-13T11:12:00Z</dcterms:created>
  <dcterms:modified xsi:type="dcterms:W3CDTF">2025-11-13T11:12:00Z</dcterms:modified>
</cp:coreProperties>
</file>